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CN-0760 · Human Rights</w:t>
      </w:r>
    </w:p>
    <w:p>
      <w:pPr>
        <w:pStyle w:val="Title"/>
      </w:pPr>
      <w:r>
        <w:t xml:space="preserve">Right to Travel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leave the country as part of personal liberty, and the law required to refuse or impound a passport.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Satwant Singh Sawhney v. D. Ramarathnam, AIR 1967 SC 1836</w:t>
      </w:r>
    </w:p>
    <w:p>
      <w:pPr>
        <w:pStyle w:val="Bullet"/>
      </w:pPr>
      <w:r>
        <w:t xml:space="preserve">•  Maneka Gandhi v. Union of India, (1978) 1 SCC 248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https://fpr.iura.in/concepts/right-to-travel-abroad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