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CN-0056 · Media</w:t>
      </w:r>
    </w:p>
    <w:p>
      <w:pPr>
        <w:pStyle w:val="Title"/>
      </w:pPr>
      <w:r>
        <w:t xml:space="preserve">Scandalising the Court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Criminal contempt by criticism of judges: the statutory definition, truth as a defence, and where fair criticism ends.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Contempt of Courts Act, 1971, §§ 2(c), 5, 13</w:t>
      </w:r>
    </w:p>
    <w:p>
      <w:pPr>
        <w:pStyle w:val="Bullet"/>
      </w:pPr>
      <w:r>
        <w:t xml:space="preserve">•  In re Prashant Bhushan, (2021) 1 SCC 745</w:t>
      </w:r>
    </w:p>
    <w:p>
      <w:pPr>
        <w:pStyle w:val="Bullet"/>
      </w:pPr>
      <w:r>
        <w:t xml:space="preserve">•  E.M. Sankaran Namboodiripad v. T. Narayanan Nambiar, (1970) 2 SCC 325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https://fpr.iura.in/concepts/scandalising-the-court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