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CN-0110 · Constitutional</w:t>
      </w:r>
    </w:p>
    <w:p>
      <w:pPr>
        <w:pStyle w:val="Title"/>
      </w:pPr>
      <w:r>
        <w:t xml:space="preserve">Scheduled Areas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Areas governed by the Fifth and Sixth Schedules, the Governor’s special powers there, and the limits on transfer of tribal land.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244 and Fifth and Sixth Schedules</w:t>
      </w:r>
    </w:p>
    <w:p>
      <w:pPr>
        <w:pStyle w:val="Bullet"/>
      </w:pPr>
      <w:r>
        <w:t xml:space="preserve">•  Samatha v. State of A.P., (1997) 8 SCC 191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https://fpr.iura.in/concepts/scheduled-areas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