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CN-0076 · Constitutional</w:t>
      </w:r>
    </w:p>
    <w:p>
      <w:pPr>
        <w:pStyle w:val="Title"/>
      </w:pPr>
      <w:r>
        <w:t xml:space="preserve">Scheduled Castes and Scheduled Tribes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the Presidential lists are made and changed, and whether a State may deal differently with groups inside a list.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341–342, 366(24)–(25)</w:t>
      </w:r>
    </w:p>
    <w:p>
      <w:pPr>
        <w:pStyle w:val="Bullet"/>
      </w:pPr>
      <w:r>
        <w:t xml:space="preserve">•  E.V. Chinnaiah v. State of A.P., (2005) 1 SCC 394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https://fpr.iura.in/concepts/scheduled-castes-and-tribes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