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CN-0509 · Criminal</w:t>
      </w:r>
    </w:p>
    <w:p>
      <w:pPr>
        <w:pStyle w:val="Title"/>
      </w:pPr>
      <w:r>
        <w:t xml:space="preserve">Search and Seizure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Search with and without a warrant, the witnesses required, and the recording of reasons by the officer.</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Criminal Procedure, 1973, §§ 93, 100, 165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https://fpr.iura.in/concepts/search-and-seizure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