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CN-0523 · Evidence</w:t>
      </w:r>
    </w:p>
    <w:p>
      <w:pPr>
        <w:pStyle w:val="Title"/>
      </w:pPr>
      <w:r>
        <w:t xml:space="preserve">Secondary Evidence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Copies and oral accounts of a document, and the conditions that must be met before they are admitted.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63, 65 (now Bharatiya Sakshya Adhiniyam, 2023, §§ 58, 60)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https://fpr.iura.in/concepts/secondary-evidence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