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CN-0315 · Banking</w:t>
      </w:r>
    </w:p>
    <w:p>
      <w:pPr>
        <w:pStyle w:val="Title"/>
      </w:pPr>
      <w:r>
        <w:t xml:space="preserve">Security Interest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right over property created in favour of a secured creditor, and the measures the creditor may take on default.</w:t>
      </w:r>
    </w:p>
    <w:p>
      <w:pPr>
        <w:pStyle w:val="Guidance"/>
      </w:pPr>
      <w:r>
        <w:t xml:space="preserve">Authorities to start from. These are places to begin, listed by the editors. Read each one in the original and check the citation before you rely on it.</w:t>
      </w:r>
    </w:p>
    <w:p>
      <w:pPr>
        <w:pStyle w:val="Bullet"/>
      </w:pPr>
      <w:r>
        <w:t xml:space="preserve">•  Securitisation and Reconstruction of Financial Assets and Enforcement of Security Interest Act, 2002, §§ 2(1)(zd), 2(1)(zf), 13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https://fpr.iura.in/concepts/security-interest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