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CN-0328 · Tax</w:t>
      </w:r>
    </w:p>
    <w:p>
      <w:pPr>
        <w:pStyle w:val="Title"/>
      </w:pPr>
      <w:r>
        <w:t xml:space="preserve">Significant Economic Presence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taxable connection with India based on revenue or users here, without any physical presence.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Income-tax Act, 1961, § 9(1)(i), Explanation 2A</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https://fpr.iura.in/concepts/significant-economic-presence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