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CN-0376 · Tech &amp; Data</w:t>
      </w:r>
    </w:p>
    <w:p>
      <w:pPr>
        <w:pStyle w:val="Title"/>
      </w:pPr>
      <w:r>
        <w:t xml:space="preserve">Significant Social Media Intermediary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platform above the notified user threshold, and the added duties of compliance officers, grievance handling and reporting.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(Intermediary Guidelines and Digital Media Ethics Code) Rules, 2021, rules 2(1)(v), 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https://fpr.iura.in/concepts/significant-social-media-intermediary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