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CN-0497 · Criminal</w:t>
      </w:r>
    </w:p>
    <w:p>
      <w:pPr>
        <w:pStyle w:val="Title"/>
      </w:pPr>
      <w:r>
        <w:t xml:space="preserve">Small and Commercial Quantity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thresholds on which punishment and bail under the narcotics law depend, and whether neutral material in a mixture counts.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Narcotic Drugs and Psychotropic Substances Act, 1985, § 2(viia), (xxiiia)</w:t>
      </w:r>
    </w:p>
    <w:p>
      <w:pPr>
        <w:pStyle w:val="Bullet"/>
      </w:pPr>
      <w:r>
        <w:t xml:space="preserve">•  Hira Singh v. Union of India, (2020) 20 SCC 272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https://fpr.iura.in/concepts/small-and-commercial-quantity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