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CN-0579 · Property</w:t>
      </w:r>
    </w:p>
    <w:p>
      <w:pPr>
        <w:pStyle w:val="Title"/>
      </w:pPr>
      <w:r>
        <w:t xml:space="preserve">Stamp Duty on Instruments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charged on documents, and the bar on using an unstamped instrument in evidence until the duty and penalty are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Stamp Act, 1899, §§ 2(14), 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https://fpr.iura.in/concepts/stamp-duty-on-instruments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