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CN-0765 · Jurisprudence</w:t>
      </w:r>
    </w:p>
    <w:p>
      <w:pPr>
        <w:pStyle w:val="Title"/>
      </w:pPr>
      <w:r>
        <w:t xml:space="preserve">From Status to Contract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Maine’s thesis that progressive societies move from obligations fixed by birth to obligations chosen by agreement.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Henry Maine, Ancient Law (1861)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https://fpr.iura.in/concepts/status-to-contract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