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CN-0468 · Administrative</w:t>
      </w:r>
    </w:p>
    <w:p>
      <w:pPr>
        <w:pStyle w:val="Title"/>
      </w:pPr>
      <w:r>
        <w:t xml:space="preserve">Statutory Corporation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body created by statute, the force of its regulations, and its employees’ right to enforce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Sukhdev Singh v. Bhagatram Sardar Singh Raghuvanshi, (1975) 1 SCC 421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https://fpr.iura.in/concepts/statutory-corporation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