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CN-0480 · Criminal</w:t>
      </w:r>
    </w:p>
    <w:p>
      <w:pPr>
        <w:pStyle w:val="Title"/>
      </w:pPr>
      <w:r>
        <w:t xml:space="preserve">Stolen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obtained by theft, extortion, robbery or breach of trust, and the offence of dishonestly receiving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410, 411 (now Bharatiya Nyaya Sanhita, 2023, § 317)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https://fpr.iura.in/concepts/stolen-property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