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CN-0037 · Family</w:t>
      </w:r>
    </w:p>
    <w:p>
      <w:pPr>
        <w:pStyle w:val="Title"/>
      </w:pPr>
      <w:r>
        <w:t xml:space="preserve">Stridhan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a woman holds as her own: what it includes, her absolute ownership, and the husband or in-laws as custodians.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Pratibha Rani v. Suraj Kumar, (1985) 2 SCC 370</w:t>
      </w:r>
    </w:p>
    <w:p>
      <w:pPr>
        <w:pStyle w:val="Bullet"/>
      </w:pPr>
      <w:r>
        <w:t xml:space="preserve">•  Hindu Succession Act, 1956, § 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https://fpr.iura.in/concepts/stridhan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