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CN-0746 · Private International</w:t>
      </w:r>
    </w:p>
    <w:p>
      <w:pPr>
        <w:pStyle w:val="Title"/>
      </w:pPr>
      <w:r>
        <w:t xml:space="preserve">Submission to 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defendant’s conduct amounts to accepting a foreign court’s authority, so that its judgment binds them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13</w:t>
      </w:r>
    </w:p>
    <w:p>
      <w:pPr>
        <w:pStyle w:val="Bullet"/>
      </w:pPr>
      <w:r>
        <w:t xml:space="preserve">•  Y. Narasimha Rao v. Y. Venkata Lakshmi, (1991) 3 SCC 451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https://fpr.iura.in/concepts/submission-to-jurisdiction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