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CN-0045 · Tax</w:t>
      </w:r>
    </w:p>
    <w:p>
      <w:pPr>
        <w:pStyle w:val="Title"/>
      </w:pPr>
      <w:r>
        <w:t xml:space="preserve">Supply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taxable event under GST: what counts as a supply, deemed supplies without consideration, and composite and mixed supplies.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7 and Schedules I–III</w:t>
      </w:r>
    </w:p>
    <w:p>
      <w:pPr>
        <w:pStyle w:val="Bullet"/>
      </w:pPr>
      <w:r>
        <w:t xml:space="preserve">•  India Const. art. 366(12A)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https://fpr.iura.in/concepts/supply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