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CN-0107 · Tax</w:t>
      </w:r>
    </w:p>
    <w:p>
      <w:pPr>
        <w:pStyle w:val="Title"/>
      </w:pPr>
      <w:r>
        <w:t xml:space="preserve">Tax and Fee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fee differs from a tax, how much of a return the payer must receive, and why the label decides legislative competence.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Commr., Hindu Religious Endowments v. Sri Lakshmindra Thirtha Swamiar of Sri Shirur Mutt, AIR 1954 SC 282</w:t>
      </w:r>
    </w:p>
    <w:p>
      <w:pPr>
        <w:pStyle w:val="Bullet"/>
      </w:pPr>
      <w:r>
        <w:t xml:space="preserve">•  Sreenivasa General Traders v. State of A.P., (1983) 4 SCC 353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https://fpr.iura.in/concepts/tax-and-fee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