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CN-0035 · Tax</w:t>
      </w:r>
    </w:p>
    <w:p>
      <w:pPr>
        <w:pStyle w:val="Title"/>
      </w:pPr>
      <w:r>
        <w:t xml:space="preserve">Tax Avoidance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line between planning, avoidance and evasion in Indian tax law, from the Westminster principle to the general anti-avoidance rule.</w:t>
      </w:r>
    </w:p>
    <w:p>
      <w:pPr>
        <w:pStyle w:val="Guidance"/>
      </w:pPr>
      <w:r>
        <w:t xml:space="preserve">Authorities to start from. These are places to begin, listed by the editors. Read each one in the original and check the citation before you rely on it.</w:t>
      </w:r>
    </w:p>
    <w:p>
      <w:pPr>
        <w:pStyle w:val="Bullet"/>
      </w:pPr>
      <w:r>
        <w:t xml:space="preserve">•  McDowell &amp; Co. Ltd. v. CTO, (1985) 3 SCC 230</w:t>
      </w:r>
    </w:p>
    <w:p>
      <w:pPr>
        <w:pStyle w:val="Bullet"/>
      </w:pPr>
      <w:r>
        <w:t xml:space="preserve">•  Union of India v. Azadi Bachao Andolan, (2004) 10 SCC 1</w:t>
      </w:r>
    </w:p>
    <w:p>
      <w:pPr>
        <w:pStyle w:val="Bullet"/>
      </w:pPr>
      <w:r>
        <w:t xml:space="preserve">•  Vodafone International Holdings BV v. Union of India, (2012) 6 SCC 613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https://fpr.iura.in/concepts/tax-avoidance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