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CN-0329 · Tax</w:t>
      </w:r>
    </w:p>
    <w:p>
      <w:pPr>
        <w:pStyle w:val="Title"/>
      </w:pPr>
      <w:r>
        <w:t xml:space="preserve">Tax Deduction at Source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payer’s duty to deduct tax before paying, and when a payment to a non-resident attracts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195</w:t>
      </w:r>
    </w:p>
    <w:p>
      <w:pPr>
        <w:pStyle w:val="Bullet"/>
      </w:pPr>
      <w:r>
        <w:t xml:space="preserve">•  GE India Technology Centre (P) Ltd. v. CIT, (2010) 10 SCC 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https://fpr.iura.in/concepts/tax-deduction-at-source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