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CN-0655 · Tax</w:t>
      </w:r>
    </w:p>
    <w:p>
      <w:pPr>
        <w:pStyle w:val="Title"/>
      </w:pPr>
      <w:r>
        <w:t xml:space="preserve">Tax Residency Certificate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certificate from a foreign State on which a claim to treaty benefit depends, and how far it is conclusive.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90(4)</w:t>
      </w:r>
    </w:p>
    <w:p>
      <w:pPr>
        <w:pStyle w:val="Bullet"/>
      </w:pPr>
      <w:r>
        <w:t xml:space="preserve">•  Union of India v. Azadi Bachao Andolan, (2004) 10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https://fpr.iura.in/concepts/tax-residency-certificate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