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CN-0252 · Property</w:t>
      </w:r>
    </w:p>
    <w:p>
      <w:pPr>
        <w:pStyle w:val="Title"/>
      </w:pPr>
      <w:r>
        <w:t xml:space="preserve">Tenancy at Will and at Sufferance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tenant who stays on with the landlord’s assent, one who stays without it, and how each differs from a trespasser.</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https://fpr.iura.in/concepts/tenancy-at-will-and-at-sufferance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