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CN-0682 · IP</w:t>
      </w:r>
    </w:p>
    <w:p>
      <w:pPr>
        <w:pStyle w:val="Title"/>
      </w:pPr>
      <w:r>
        <w:t xml:space="preserve">Term of Copyright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long copyright lasts for each class of work, and when the period begins to run.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22–29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https://fpr.iura.in/concepts/term-of-copyright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