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CN-0598 · Family</w:t>
      </w:r>
    </w:p>
    <w:p>
      <w:pPr>
        <w:pStyle w:val="Title"/>
      </w:pPr>
      <w:r>
        <w:t xml:space="preserve">Testamentary Succession among Hindus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Hindu’s power to dispose of property by will, including an undivided interest in coparcenary property.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https://fpr.iura.in/concepts/testamentary-succession-among-hindus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