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CN-0772 · Jurisprudence</w:t>
      </w:r>
    </w:p>
    <w:p>
      <w:pPr>
        <w:pStyle w:val="Title"/>
      </w:pPr>
      <w:r>
        <w:t xml:space="preserve">Theories of Punishment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Deterrence, retribution, prevention and reform as justifications for punishing, and which of them Indian courts invoke.</w:t>
      </w:r>
    </w:p>
    <w:p>
      <w:pPr>
        <w:pStyle w:val="Guidance"/>
      </w:pPr>
      <w:r>
        <w:t xml:space="preserve">Authorities to start from. These are places to begin, listed by the editors. Read each one in the original and check the citation before you rely on it.</w:t>
      </w:r>
    </w:p>
    <w:p>
      <w:pPr>
        <w:pStyle w:val="Bullet"/>
      </w:pPr>
      <w:r>
        <w:t xml:space="preserve">•  Mohd. Giasuddin v. State of A.P., (1977) 3 SCC 287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https://fpr.iura.in/concepts/theories-of-punishment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