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CN-0730 · International (Public)</w:t>
      </w:r>
    </w:p>
    <w:p>
      <w:pPr>
        <w:pStyle w:val="Title"/>
      </w:pPr>
      <w:r>
        <w:t xml:space="preserve">Title to Territory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 State acquires territory, and the weight given to continuous and peaceful display of authority.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Island of Palmas (Neth. v. U.S.), 2 R.I.A.A. 829 (1928)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https://fpr.iura.in/concepts/title-to-territory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