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CN-0355 · IP</w:t>
      </w:r>
    </w:p>
    <w:p>
      <w:pPr>
        <w:pStyle w:val="Title"/>
      </w:pPr>
      <w:r>
        <w:t xml:space="preserve">Trade Mark Infringement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Unauthorised use of a registered mark, and how the statutory action differs from passing off.</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Trade Marks Act, 1999, § 29</w:t>
      </w:r>
    </w:p>
    <w:p>
      <w:pPr>
        <w:pStyle w:val="Bullet"/>
      </w:pPr>
      <w:r>
        <w:t xml:space="preserve">•  Kaviraj Pandit Durga Dutt Sharma v. Navaratna Pharmaceutical Laboratories, AIR 1965 SC 980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https://fpr.iura.in/concepts/trade-mark-infringement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