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CN-0353 · Labour</w:t>
      </w:r>
    </w:p>
    <w:p>
      <w:pPr>
        <w:pStyle w:val="Title"/>
      </w:pPr>
      <w:r>
        <w:t xml:space="preserve">Transfer of Undertaking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What happens to workmen when ownership of a business changes hands, and when they must be paid as if retrenched.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Industrial Disputes Act, 1947, § 25FF</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https://fpr.iura.in/concepts/transfer-of-undertaking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