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CN-0520 · Criminal</w:t>
      </w:r>
    </w:p>
    <w:p>
      <w:pPr>
        <w:pStyle w:val="Title"/>
      </w:pPr>
      <w:r>
        <w:t xml:space="preserve">Undertrial Detention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maximum period for which an undertrial may be held, and the release of those who have served half the maximum sentence.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436A (now Bharatiya Nagarik Suraksha Sanhita, 2023, § 479)</w:t>
      </w:r>
    </w:p>
    <w:p>
      <w:pPr>
        <w:pStyle w:val="Bullet"/>
      </w:pPr>
      <w:r>
        <w:t xml:space="preserve">•  Bhim Singh v. Union of India, (2015) 13 SCC 605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https://fpr.iura.in/concepts/undertrial-detention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