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CN-0132 · Criminal</w:t>
      </w:r>
    </w:p>
    <w:p>
      <w:pPr>
        <w:pStyle w:val="Title"/>
      </w:pPr>
      <w:r>
        <w:t xml:space="preserve">Unlawful Assembly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assembly of five or more with a common object the Code forbids, and the liability of every member for what one of them does.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141, 149 (now Bharatiya Nyaya Sanhita, 2023, §§ 189, 190)</w:t>
      </w:r>
    </w:p>
    <w:p>
      <w:pPr>
        <w:pStyle w:val="Bullet"/>
      </w:pPr>
      <w:r>
        <w:t xml:space="preserve">•  Masalti v. State of U.P., AIR 1965 SC 202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https://fpr.iura.in/concepts/unlawful-assembly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