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CN-0218 · Contract</w:t>
      </w:r>
    </w:p>
    <w:p>
      <w:pPr>
        <w:pStyle w:val="Title"/>
      </w:pPr>
      <w:r>
        <w:t xml:space="preserve">Unpaid Seller</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seller’s rights against the goods themselves: lien, stoppage in transit and resale.</w:t>
      </w:r>
    </w:p>
    <w:p>
      <w:pPr>
        <w:pStyle w:val="Guidance"/>
      </w:pPr>
      <w:r>
        <w:t xml:space="preserve">Authorities to start from. These are places to begin, listed by the editors. Read each one in the original and check the citation before you rely on it.</w:t>
      </w:r>
    </w:p>
    <w:p>
      <w:pPr>
        <w:pStyle w:val="Bullet"/>
      </w:pPr>
      <w:r>
        <w:t xml:space="preserve">•  Sale of Goods Act, 1930, §§ 45–54</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https://fpr.iura.in/concepts/unpaid-seller</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