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CN-0090 · Constitutional</w:t>
      </w:r>
    </w:p>
    <w:p>
      <w:pPr>
        <w:pStyle w:val="Title"/>
      </w:pPr>
      <w:r>
        <w:t xml:space="preserve">Untouchability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practice Article 17 abolishes, why the Constitution leaves the word undefined, and the offences Parliament created to enforce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17</w:t>
      </w:r>
    </w:p>
    <w:p>
      <w:pPr>
        <w:pStyle w:val="Bullet"/>
      </w:pPr>
      <w:r>
        <w:t xml:space="preserve">•  Protection of Civil Rights Act, 1955</w:t>
      </w:r>
    </w:p>
    <w:p>
      <w:pPr>
        <w:pStyle w:val="Bullet"/>
      </w:pPr>
      <w:r>
        <w:t xml:space="preserve">•  State of Karnataka v. Appa Balu Ingale, 1995 Supp (4) SCC 469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https://fpr.iura.in/concepts/untouchability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