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CN-0206 · Contract</w:t>
      </w:r>
    </w:p>
    <w:p>
      <w:pPr>
        <w:pStyle w:val="Title"/>
      </w:pPr>
      <w:r>
        <w:t xml:space="preserve">Wagering Agreement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in which each side stands only to win or lose on an uncertain event, why it is void but not illegal, and what that means for collateral deals.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30</w:t>
      </w:r>
    </w:p>
    <w:p>
      <w:pPr>
        <w:pStyle w:val="Bullet"/>
      </w:pPr>
      <w:r>
        <w:t xml:space="preserve">•  Gherulal Parakh v. Mahadeodas Maiya, AIR 1959 SC 781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https://fpr.iura.in/concepts/wagering-agreement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