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CN-0248 · Property</w:t>
      </w:r>
    </w:p>
    <w:p>
      <w:pPr>
        <w:pStyle w:val="Title"/>
      </w:pPr>
      <w:r>
        <w:t xml:space="preserve">Waqf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permanent dedication of property for purposes Muslim law treats as pious or charitable, and how it is administered.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Waqf Act, 1995, § 3(r)</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https://fpr.iura.in/concepts/waqf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