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CN-0514 · Criminal</w:t>
      </w:r>
    </w:p>
    <w:p>
      <w:pPr>
        <w:pStyle w:val="Title"/>
      </w:pPr>
      <w:r>
        <w:t xml:space="preserve">Withdrawal from Prosecution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public prosecutor’s power to withdraw a case with the court’s consent, and what the court looks at before giving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321 (now Bharatiya Nagarik Suraksha Sanhita, 2023, § 360)</w:t>
      </w:r>
    </w:p>
    <w:p>
      <w:pPr>
        <w:pStyle w:val="Bullet"/>
      </w:pPr>
      <w:r>
        <w:t xml:space="preserve">•  Sheonandan Paswan v. State of Bihar, (1987) 1 SCC 288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https://fpr.iura.in/concepts/withdrawal-from-prosecution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