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CN-0530 · Civil Procedure</w:t>
      </w:r>
    </w:p>
    <w:p>
      <w:pPr>
        <w:pStyle w:val="Title"/>
      </w:pPr>
      <w:r>
        <w:t xml:space="preserve">Written Statement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defendant’s reply to the plaint, the time for filing it, and why that time is strict in commercial suits and not in others.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VIII, Rule 1</w:t>
      </w:r>
    </w:p>
    <w:p>
      <w:pPr>
        <w:pStyle w:val="Bullet"/>
      </w:pPr>
      <w:r>
        <w:t xml:space="preserve">•  Kailash v. Nanhku, (2005) 4 SCC 480</w:t>
      </w:r>
    </w:p>
    <w:p>
      <w:pPr>
        <w:pStyle w:val="Bullet"/>
      </w:pPr>
      <w:r>
        <w:t xml:space="preserve">•  SCG Contracts (India) (P) Ltd. v. K.S. Chamankar Infrastructure (P) Ltd., (2019) 12 SCC 210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https://fpr.iura.in/concepts/written-statement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