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DS-0023 · Tort</w:t>
      </w:r>
    </w:p>
    <w:p>
      <w:pPr>
        <w:pStyle w:val="Title"/>
      </w:pPr>
      <w:r>
        <w:t xml:space="preserve">Ahmadi J. in the Bhopal Settlement Review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on whether the Union must make good a shortfall in the settlement fund.</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Carbide Corpn. v. Union of India, (1991) 4 SCC 584 (Ahmadi, J., dissenting in part)</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https://fpr.iura.in/dissents/ahmadi-in-union-carbide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