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DS-0006 · Constitutional</w:t>
      </w:r>
    </w:p>
    <w:p>
      <w:pPr>
        <w:pStyle w:val="Title"/>
      </w:pPr>
      <w:r>
        <w:t xml:space="preserve">Bhagwati J. in Minerva Mills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partial dissent upholding the amended Article 31C, and a different view of the balance between Parts III and IV.</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Minerva Mills Ltd. v. Union of India, (1980) 3 SCC 625 (Bhagwati,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https://fpr.iura.in/dissents/bhagwati-in-minerva-mills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