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DS-0037 · Environment</w:t>
      </w:r>
    </w:p>
    <w:p>
      <w:pPr>
        <w:pStyle w:val="Title"/>
      </w:pPr>
      <w:r>
        <w:t xml:space="preserve">Bharucha J. in Narmada Bachao Andolan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dissent that the dam could not proceed without a fresh environmental clearance.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Narmada Bachao Andolan v. Union of India, (2000) 10 SCC 664 (Bharucha, J., dissenting)</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https://fpr.iura.in/dissents/bharucha-in-narmada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