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DS-0010 · Tech &amp; Data</w:t>
      </w:r>
    </w:p>
    <w:p>
      <w:pPr>
        <w:pStyle w:val="Title"/>
      </w:pPr>
      <w:r>
        <w:t xml:space="preserve">Chandrachud J. in the Aadhaar Case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The dissent holding the Aadhaar Act unconstitutional as a money bill and disproportionate in its design.</w:t>
      </w:r>
    </w:p>
    <w:p>
      <w:pPr>
        <w:pStyle w:val="Guidance"/>
      </w:pPr>
      <w:r>
        <w:t xml:space="preserve">Authorities to start from. These are places to begin, listed by the editors. Read each one in the original and check the citation before you rely on it.</w:t>
      </w:r>
    </w:p>
    <w:p>
      <w:pPr>
        <w:pStyle w:val="Bullet"/>
      </w:pPr>
      <w:r>
        <w:t xml:space="preserve">•  K.S. Puttaswamy (Aadhaar) v. Union of India, (2019) 1 SCC 1 (Chandrachud, J., dissenting)</w:t>
      </w:r>
    </w:p>
    <w:p>
      <w:pPr>
        <w:pStyle w:val="Bullet"/>
      </w:pPr>
      <w:r>
        <w:t xml:space="preserve">•  Rojer Mathew v. South Indian Bank Ltd., (2020) 6 SCC 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https://fpr.iura.in/dissents/chandrachud-in-aadhaar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