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DS-0021 · Criminal</w:t>
      </w:r>
    </w:p>
    <w:p>
      <w:pPr>
        <w:pStyle w:val="Title"/>
      </w:pPr>
      <w:r>
        <w:t xml:space="preserve">Chandrachud J. in Romila Thapar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that would have ordered a special investigation team into arrests of activists, on the ground that liberty cannot rest on conjecture.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Romila Thapar v. Union of India, (2018) 10 SCC 753 (Chandrachud,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https://fpr.iura.in/dissents/chandrachud-in-romila-thapar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