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DS-0045 · Property</w:t>
      </w:r>
    </w:p>
    <w:p>
      <w:pPr>
        <w:pStyle w:val="Title"/>
      </w:pPr>
      <w:r>
        <w:t xml:space="preserve">Dhulia J. in Property Owners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held that not all private property is a "material resource of the community"; the dissent kept the wider reading.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Property Owners Association v. State of Maharashtra (Supreme Court, Nov. 5, 2024)</w:t>
      </w:r>
    </w:p>
    <w:p>
      <w:pPr>
        <w:pStyle w:val="Bullet"/>
      </w:pPr>
      <w:r>
        <w:t xml:space="preserve">•  India Const. art. 39(b)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https://fpr.iura.in/dissents/dhulia-in-property-owners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