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DS-0028 · Labour</w:t>
      </w:r>
    </w:p>
    <w:p>
      <w:pPr>
        <w:pStyle w:val="Title"/>
      </w:pPr>
      <w:r>
        <w:t xml:space="preserve">The Doubts about Bangalore Water Supply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opinions within and after the seven-judge decision that the definition of industry had been drawn too wide.</w:t>
      </w:r>
    </w:p>
    <w:p>
      <w:pPr>
        <w:pStyle w:val="Guidance"/>
      </w:pPr>
      <w:r>
        <w:t xml:space="preserve">Authorities to start from. These are places to begin, listed by the editors. Read each one in the original and check the citation before you rely on it.</w:t>
      </w:r>
    </w:p>
    <w:p>
      <w:pPr>
        <w:pStyle w:val="Bullet"/>
      </w:pPr>
      <w:r>
        <w:t xml:space="preserve">•  Bangalore Water Supply &amp; Sewerage Board v. A. Rajappa, (1978) 2 SCC 213 (Chandrachud, J.; Jaswant Singh and Tulzapurkar, JJ.)</w:t>
      </w:r>
    </w:p>
    <w:p>
      <w:pPr>
        <w:pStyle w:val="Bullet"/>
      </w:pPr>
      <w:r>
        <w:t xml:space="preserve">•  State of U.P. v. Jai Bir Singh, (2005) 5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https://fpr.iura.in/dissents/doubts-about-bangalore-water-supply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