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DS-0042 · Media</w:t>
      </w:r>
    </w:p>
    <w:p>
      <w:pPr>
        <w:pStyle w:val="Title"/>
      </w:pPr>
      <w:r>
        <w:t xml:space="preserve">Fazl Ali J. in Romesh Thappar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lone dissent in the first free speech cases read "security of the State" to include public order, which the First Amendment then wrote in.</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Romesh Thappar v. State of Madras, AIR 1950 SC 124</w:t>
      </w:r>
    </w:p>
    <w:p>
      <w:pPr>
        <w:pStyle w:val="Bullet"/>
      </w:pPr>
      <w:r>
        <w:t xml:space="preserve">•  Brij Bhushan v. State of Delhi, AIR 1950 SC 129</w:t>
      </w:r>
    </w:p>
    <w:p>
      <w:pPr>
        <w:pStyle w:val="Bullet"/>
      </w:pPr>
      <w:r>
        <w:t xml:space="preserve">•  Constitution (First Amendment) Act, 1951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https://fpr.iura.in/dissents/fazl-ali-in-romesh-thappar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