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DS-0041 · Constitutional</w:t>
      </w:r>
    </w:p>
    <w:p>
      <w:pPr>
        <w:pStyle w:val="Title"/>
      </w:pPr>
      <w:r>
        <w:t xml:space="preserve">Hidayatullah J. in Naresh Mirajkar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majority held that a judicial order cannot violate a fundamental right; the dissent held that a court is bound like any other authority.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Naresh Shridhar Mirajkar v. State of Maharashtra, AIR 1967 SC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https://fpr.iura.in/dissents/hidayatullah-in-mirajkar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