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DS-0011 · Constitutional</w:t>
      </w:r>
    </w:p>
    <w:p>
      <w:pPr>
        <w:pStyle w:val="Title"/>
      </w:pPr>
      <w:r>
        <w:t xml:space="preserve">Indu Malhotra J. in Sabarimala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courts should not test religious practice for rationality, and the review reference that followed.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Young Lawyers Assn. v. State of Kerala, (2019) 11 SCC 1 (Malhotra, J., dissenting)</w:t>
      </w:r>
    </w:p>
    <w:p>
      <w:pPr>
        <w:pStyle w:val="Bullet"/>
      </w:pPr>
      <w:r>
        <w:t xml:space="preserve">•  Kantaru Rajeevaru v. Indian Young Lawyers Assn., (2020) 2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https://fpr.iura.in/dissents/indu-malhotra-in-sabarimala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