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Dissent · DS-0001 · Constitutional</w:t>
      </w:r>
    </w:p>
    <w:p>
      <w:pPr>
        <w:pStyle w:val="Title"/>
      </w:pPr>
      <w:r>
        <w:t xml:space="preserve">Khanna J. in ADM Jabalpur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case and the majority</w:t>
      </w:r>
    </w:p>
    <w:p>
      <w:pPr>
        <w:pStyle w:val="Guidance"/>
      </w:pPr>
      <w:r>
        <w:t xml:space="preserve">The facts, the question and what the majority held.</w:t>
      </w:r>
    </w:p>
    <w:p/>
    <w:p>
      <w:pPr>
        <w:pStyle w:val="Heading1"/>
      </w:pPr>
      <w:r>
        <w:t xml:space="preserve">What the dissent said</w:t>
      </w:r>
    </w:p>
    <w:p>
      <w:pPr>
        <w:pStyle w:val="Guidance"/>
      </w:pPr>
      <w:r>
        <w:t xml:space="preserve">The dissenting conclusion, in the judge’s own terms.</w:t>
      </w:r>
    </w:p>
    <w:p/>
    <w:p>
      <w:pPr>
        <w:pStyle w:val="Heading1"/>
      </w:pPr>
      <w:r>
        <w:t xml:space="preserve">The reasoning, read closely</w:t>
      </w:r>
    </w:p>
    <w:p>
      <w:pPr>
        <w:pStyle w:val="Guidance"/>
      </w:pPr>
      <w:r>
        <w:t xml:space="preserve">Take the dissent’s argument step by step, with pinpoint references.</w:t>
      </w:r>
    </w:p>
    <w:p/>
    <w:p>
      <w:pPr>
        <w:pStyle w:val="Heading1"/>
      </w:pPr>
      <w:r>
        <w:t xml:space="preserve">What became of it</w:t>
      </w:r>
    </w:p>
    <w:p>
      <w:pPr>
        <w:pStyle w:val="Guidance"/>
      </w:pPr>
      <w:r>
        <w:t xml:space="preserve">Whether later benches, Parliament or writers took it up.</w:t>
      </w:r>
    </w:p>
    <w:p/>
    <w:p>
      <w:pPr>
        <w:pStyle w:val="Heading1"/>
      </w:pPr>
      <w:r>
        <w:t xml:space="preserve">Your assessment</w:t>
      </w:r>
    </w:p>
    <w:p>
      <w:pPr>
        <w:pStyle w:val="Guidance"/>
      </w:pPr>
      <w:r>
        <w:t xml:space="preserve">Whether the dissent was right, and what follows if it was.</w:t>
      </w:r>
    </w:p>
    <w:p/>
    <w:p>
      <w:pPr>
        <w:pStyle w:val="Heading1"/>
      </w:pPr>
      <w:r>
        <w:t xml:space="preserve">Notes for the writer (delete before submitting)</w:t>
      </w:r>
    </w:p>
    <w:p>
      <w:pPr>
        <w:pStyle w:val="Guidance"/>
      </w:pPr>
      <w:r>
        <w:t xml:space="preserve">Scope of this entry. The lone opinion that the right to life does not depend on Article 21 and survives its suspension; what it cost its author and how it was vindicated.</w:t>
      </w:r>
    </w:p>
    <w:p>
      <w:pPr>
        <w:pStyle w:val="Guidance"/>
      </w:pPr>
      <w:r>
        <w:t xml:space="preserve">Authorities to start from. These are places to begin, listed by the editors. Read each one in the original and check the citation before you rely on it.</w:t>
      </w:r>
    </w:p>
    <w:p>
      <w:pPr>
        <w:pStyle w:val="Bullet"/>
      </w:pPr>
      <w:r>
        <w:t xml:space="preserve">•  ADM Jabalpur v. Shivkant Shukla, (1976) 2 SCC 521 (Khanna, J., dissenting)</w:t>
      </w:r>
    </w:p>
    <w:p>
      <w:pPr>
        <w:pStyle w:val="Bullet"/>
      </w:pPr>
      <w:r>
        <w:t xml:space="preserve">•  K.S. Puttaswamy v. Union of India, (2017) 10 SCC 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https://fpr.iura.in/dissents/khanna-in-adm-jabalpur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