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DS-0020 · Constitutional</w:t>
      </w:r>
    </w:p>
    <w:p>
      <w:pPr>
        <w:pStyle w:val="Title"/>
      </w:pPr>
      <w:r>
        <w:t xml:space="preserve">The Minority in Abhiram Singh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Three judges on why "his religion" in election law refers only to the candidate, and why identity is a legitimate subject of political speech.</w:t>
      </w:r>
    </w:p>
    <w:p>
      <w:pPr>
        <w:pStyle w:val="Guidance"/>
      </w:pPr>
      <w:r>
        <w:t xml:space="preserve">Authorities to start from. These are places to begin, listed by the editors. Read each one in the original and check the citation before you rely on it.</w:t>
      </w:r>
    </w:p>
    <w:p>
      <w:pPr>
        <w:pStyle w:val="Bullet"/>
      </w:pPr>
      <w:r>
        <w:t xml:space="preserve">•  Abhiram Singh v. C.D. Commachen, (2017) 2 SCC 629 (Chandrachud, J., dissenting)</w:t>
      </w:r>
    </w:p>
    <w:p>
      <w:pPr>
        <w:pStyle w:val="Bullet"/>
      </w:pPr>
      <w:r>
        <w:t xml:space="preserve">•  Representation of the People Act, 1951, § 123(3)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https://fpr.iura.in/dissents/minority-in-abhiram-singh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