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DS-0024 · Arbitration</w:t>
      </w:r>
    </w:p>
    <w:p>
      <w:pPr>
        <w:pStyle w:val="Title"/>
      </w:pPr>
      <w:r>
        <w:t xml:space="preserve">The Minority in N.N. Global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two-judge view that an unstamped arbitration agreement is enforceable at the referral stage, vindicated within the year.</w:t>
      </w:r>
    </w:p>
    <w:p>
      <w:pPr>
        <w:pStyle w:val="Guidance"/>
      </w:pPr>
      <w:r>
        <w:t xml:space="preserve">Authorities to start from. These are places to begin, listed by the editors. Read each one in the original and check the citation before you rely on it.</w:t>
      </w:r>
    </w:p>
    <w:p>
      <w:pPr>
        <w:pStyle w:val="Bullet"/>
      </w:pPr>
      <w:r>
        <w:t xml:space="preserve">•  N.N. Global Mercantile (P) Ltd. v. Indo Unique Flame Ltd., (2023) 7 SCC 1 (Rastogi and Roy, JJ.,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https://fpr.iura.in/dissents/minority-in-nn-global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