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DS-0038 · Administrative</w:t>
      </w:r>
    </w:p>
    <w:p>
      <w:pPr>
        <w:pStyle w:val="Title"/>
      </w:pPr>
      <w:r>
        <w:t xml:space="preserve">The Dissents in Rojer Mathew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Two judges who would have struck down the tribunal provisions of the Finance Act as not a money bill.</w:t>
      </w:r>
    </w:p>
    <w:p>
      <w:pPr>
        <w:pStyle w:val="Guidance"/>
      </w:pPr>
      <w:r>
        <w:t xml:space="preserve">Authorities to start from. These are places to begin, listed by the editors. Read each one in the original and check the citation before you rely on it.</w:t>
      </w:r>
    </w:p>
    <w:p>
      <w:pPr>
        <w:pStyle w:val="Bullet"/>
      </w:pPr>
      <w:r>
        <w:t xml:space="preserve">•  Rojer Mathew v. South Indian Bank Ltd., (2020) 6 SCC 1 (Chandrachud, J., and Deepak Gupta, J.)</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https://fpr.iura.in/dissents/minority-in-rojer-mathew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